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关于组织开展2020-2021学年度奖学金、先进荣誉称号评定工作的通知</w:t>
      </w:r>
    </w:p>
    <w:p>
      <w:pPr>
        <w:tabs>
          <w:tab w:val="left" w:pos="921"/>
        </w:tabs>
        <w:spacing w:line="360" w:lineRule="auto"/>
        <w:jc w:val="left"/>
        <w:rPr>
          <w:rFonts w:asciiTheme="minorEastAsia" w:hAnsiTheme="minorEastAsia" w:cstheme="minorEastAsia"/>
          <w:sz w:val="24"/>
        </w:rPr>
      </w:pPr>
      <w:r>
        <w:rPr>
          <w:rFonts w:hint="eastAsia" w:asciiTheme="minorEastAsia" w:hAnsiTheme="minorEastAsia" w:cstheme="minorEastAsia"/>
          <w:sz w:val="24"/>
        </w:rPr>
        <w:tab/>
      </w:r>
    </w:p>
    <w:p>
      <w:pPr>
        <w:spacing w:line="360" w:lineRule="auto"/>
        <w:rPr>
          <w:rFonts w:asciiTheme="minorEastAsia" w:hAnsiTheme="minorEastAsia" w:cstheme="minorEastAsia"/>
          <w:sz w:val="24"/>
        </w:rPr>
      </w:pPr>
      <w:r>
        <w:rPr>
          <w:rFonts w:hint="eastAsia" w:asciiTheme="minorEastAsia" w:hAnsiTheme="minorEastAsia" w:cstheme="minorEastAsia"/>
          <w:sz w:val="24"/>
        </w:rPr>
        <w:t>各班级：</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2020—2021学年度奖学金和先进荣誉称号的评定工作已经开始，具体通知如下：</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评选对象</w:t>
      </w:r>
    </w:p>
    <w:p>
      <w:pPr>
        <w:autoSpaceDE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学院2018级、2019级、2020级全体本科生；</w:t>
      </w:r>
    </w:p>
    <w:p>
      <w:pPr>
        <w:autoSpaceDE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2021年转专业的学生在原学院、原专业评选；2018级、2019级楚才学院学生在楚才学院评选，2020级楚才学院学生在原学院、原专业评选。</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奖项设置</w:t>
      </w:r>
    </w:p>
    <w:p>
      <w:pPr>
        <w:spacing w:line="360" w:lineRule="auto"/>
        <w:ind w:firstLine="480" w:firstLineChars="200"/>
        <w:rPr>
          <w:rFonts w:ascii="Calibri" w:hAnsi="Calibri" w:cs="Calibri"/>
          <w:sz w:val="24"/>
        </w:rPr>
      </w:pPr>
      <w:r>
        <w:rPr>
          <w:rFonts w:hint="eastAsia" w:asciiTheme="minorEastAsia" w:hAnsiTheme="minorEastAsia" w:cstheme="minorEastAsia"/>
          <w:sz w:val="24"/>
        </w:rPr>
        <w:t xml:space="preserve">奖学金奖项：优秀学生奖学金（一等、二等、三等）、学习成绩优秀奖学金（甲等、乙等）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先进荣誉称号奖项：三好学生、优秀学生干部</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评选办法</w:t>
      </w:r>
    </w:p>
    <w:p>
      <w:pPr>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评选办法见文件下方附件1。</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评选程序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1、各位同学自己计算本人的学习成绩和综合测评成绩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2、班级奖学金评定小组核算申请者的学习成绩和综合测评成绩。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3、依据成绩和评选办法产生获奖人选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4、获得奖项的学生下载填写</w:t>
      </w:r>
      <w:r>
        <w:rPr>
          <w:rFonts w:hint="eastAsia" w:asciiTheme="minorEastAsia" w:hAnsiTheme="minorEastAsia" w:cstheme="minorEastAsia"/>
          <w:b/>
          <w:bCs/>
          <w:color w:val="FF0000"/>
          <w:sz w:val="24"/>
        </w:rPr>
        <w:t>电子版</w:t>
      </w:r>
      <w:r>
        <w:rPr>
          <w:rFonts w:hint="eastAsia" w:asciiTheme="minorEastAsia" w:hAnsiTheme="minorEastAsia" w:cstheme="minorEastAsia"/>
          <w:sz w:val="24"/>
        </w:rPr>
        <w:t>的《附件8：账户统计表格》和</w:t>
      </w:r>
      <w:r>
        <w:rPr>
          <w:rFonts w:hint="eastAsia" w:asciiTheme="minorEastAsia" w:hAnsiTheme="minorEastAsia" w:cstheme="minorEastAsia"/>
          <w:b/>
          <w:bCs/>
          <w:color w:val="FF0000"/>
          <w:sz w:val="24"/>
        </w:rPr>
        <w:t>电子版</w:t>
      </w:r>
      <w:r>
        <w:rPr>
          <w:rFonts w:hint="eastAsia" w:asciiTheme="minorEastAsia" w:hAnsiTheme="minorEastAsia" w:cstheme="minorEastAsia"/>
          <w:sz w:val="24"/>
        </w:rPr>
        <w:t>的《附件7：奖学金、荣誉称号获得者汇总表》。并将两个</w:t>
      </w:r>
      <w:r>
        <w:rPr>
          <w:rFonts w:hint="eastAsia" w:asciiTheme="minorEastAsia" w:hAnsiTheme="minorEastAsia" w:cstheme="minorEastAsia"/>
          <w:b/>
          <w:bCs/>
          <w:color w:val="FF0000"/>
          <w:sz w:val="24"/>
        </w:rPr>
        <w:t>电子版</w:t>
      </w:r>
      <w:r>
        <w:rPr>
          <w:rFonts w:hint="eastAsia" w:asciiTheme="minorEastAsia" w:hAnsiTheme="minorEastAsia" w:cstheme="minorEastAsia"/>
          <w:sz w:val="24"/>
        </w:rPr>
        <w:t>的表格交至各班班长处。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5、各班班长将两个</w:t>
      </w:r>
      <w:r>
        <w:rPr>
          <w:rFonts w:hint="eastAsia" w:asciiTheme="minorEastAsia" w:hAnsiTheme="minorEastAsia" w:cstheme="minorEastAsia"/>
          <w:b/>
          <w:bCs/>
          <w:color w:val="FF0000"/>
          <w:sz w:val="24"/>
        </w:rPr>
        <w:t>电子版</w:t>
      </w:r>
      <w:r>
        <w:rPr>
          <w:rFonts w:hint="eastAsia" w:asciiTheme="minorEastAsia" w:hAnsiTheme="minorEastAsia" w:cstheme="minorEastAsia"/>
          <w:sz w:val="24"/>
        </w:rPr>
        <w:t>的表格汇总统计后于</w:t>
      </w:r>
      <w:r>
        <w:rPr>
          <w:rFonts w:hint="eastAsia" w:asciiTheme="minorEastAsia" w:hAnsiTheme="minorEastAsia" w:cstheme="minorEastAsia"/>
          <w:b/>
          <w:bCs/>
          <w:color w:val="FF0000"/>
          <w:sz w:val="24"/>
          <w:highlight w:val="yellow"/>
        </w:rPr>
        <w:t>10月</w:t>
      </w:r>
      <w:r>
        <w:rPr>
          <w:rFonts w:hint="eastAsia" w:asciiTheme="minorEastAsia" w:hAnsiTheme="minorEastAsia" w:cstheme="minorEastAsia"/>
          <w:b/>
          <w:bCs/>
          <w:color w:val="FF0000"/>
          <w:sz w:val="24"/>
          <w:highlight w:val="yellow"/>
          <w:lang w:val="en-US" w:eastAsia="zh-CN"/>
        </w:rPr>
        <w:t>3</w:t>
      </w:r>
      <w:r>
        <w:rPr>
          <w:rFonts w:hint="eastAsia" w:asciiTheme="minorEastAsia" w:hAnsiTheme="minorEastAsia" w:cstheme="minorEastAsia"/>
          <w:b/>
          <w:bCs/>
          <w:color w:val="FF0000"/>
          <w:sz w:val="24"/>
          <w:highlight w:val="yellow"/>
        </w:rPr>
        <w:t>日</w:t>
      </w:r>
      <w:r>
        <w:rPr>
          <w:rFonts w:hint="eastAsia" w:asciiTheme="minorEastAsia" w:hAnsiTheme="minorEastAsia" w:cstheme="minorEastAsia"/>
          <w:b/>
          <w:bCs/>
          <w:color w:val="FF0000"/>
          <w:sz w:val="24"/>
          <w:highlight w:val="yellow"/>
          <w:lang w:val="en-US" w:eastAsia="zh-CN"/>
        </w:rPr>
        <w:t>晚</w:t>
      </w:r>
      <w:r>
        <w:rPr>
          <w:rFonts w:hint="eastAsia" w:asciiTheme="minorEastAsia" w:hAnsiTheme="minorEastAsia" w:cstheme="minorEastAsia"/>
          <w:b/>
          <w:bCs/>
          <w:color w:val="FF0000"/>
          <w:sz w:val="24"/>
          <w:highlight w:val="yellow"/>
        </w:rPr>
        <w:t>前用压缩包QQ</w:t>
      </w:r>
      <w:r>
        <w:rPr>
          <w:rFonts w:hint="eastAsia" w:asciiTheme="minorEastAsia" w:hAnsiTheme="minorEastAsia" w:cstheme="minorEastAsia"/>
          <w:sz w:val="24"/>
        </w:rPr>
        <w:t>发送给对应年级的接收负责人（见下表）。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年级</w:t>
            </w:r>
          </w:p>
        </w:tc>
        <w:tc>
          <w:tcPr>
            <w:tcW w:w="2841"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接收负责人姓名</w:t>
            </w:r>
          </w:p>
        </w:tc>
        <w:tc>
          <w:tcPr>
            <w:tcW w:w="2841"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负责人QQ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18级</w:t>
            </w:r>
          </w:p>
        </w:tc>
        <w:tc>
          <w:tcPr>
            <w:tcW w:w="2841" w:type="dxa"/>
          </w:tcPr>
          <w:p>
            <w:pPr>
              <w:spacing w:line="360" w:lineRule="auto"/>
              <w:jc w:val="center"/>
              <w:rPr>
                <w:rFonts w:asciiTheme="minorEastAsia" w:hAnsiTheme="minorEastAsia" w:cstheme="minorEastAsia"/>
                <w:sz w:val="24"/>
              </w:rPr>
            </w:pPr>
            <w:r>
              <w:rPr>
                <w:rFonts w:hint="eastAsia"/>
                <w:sz w:val="24"/>
              </w:rPr>
              <w:t>秘书处纪思源</w:t>
            </w:r>
          </w:p>
        </w:tc>
        <w:tc>
          <w:tcPr>
            <w:tcW w:w="2841" w:type="dxa"/>
          </w:tcPr>
          <w:p>
            <w:pPr>
              <w:spacing w:line="360" w:lineRule="auto"/>
              <w:jc w:val="center"/>
              <w:rPr>
                <w:rFonts w:asciiTheme="minorEastAsia" w:hAnsiTheme="minorEastAsia" w:cstheme="minorEastAsia"/>
                <w:sz w:val="24"/>
              </w:rPr>
            </w:pPr>
            <w:r>
              <w:rPr>
                <w:sz w:val="24"/>
              </w:rPr>
              <w:t>1420870861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19级</w:t>
            </w:r>
          </w:p>
        </w:tc>
        <w:tc>
          <w:tcPr>
            <w:tcW w:w="2841" w:type="dxa"/>
          </w:tcPr>
          <w:p>
            <w:pPr>
              <w:spacing w:line="360" w:lineRule="auto"/>
              <w:jc w:val="center"/>
              <w:rPr>
                <w:rFonts w:asciiTheme="minorEastAsia" w:hAnsiTheme="minorEastAsia" w:cstheme="minorEastAsia"/>
                <w:sz w:val="24"/>
              </w:rPr>
            </w:pPr>
            <w:r>
              <w:rPr>
                <w:rFonts w:hint="eastAsia"/>
                <w:sz w:val="24"/>
              </w:rPr>
              <w:t>秘书处俞鸿翔</w:t>
            </w:r>
          </w:p>
        </w:tc>
        <w:tc>
          <w:tcPr>
            <w:tcW w:w="2841" w:type="dxa"/>
          </w:tcPr>
          <w:p>
            <w:pPr>
              <w:spacing w:line="360" w:lineRule="auto"/>
              <w:jc w:val="center"/>
              <w:rPr>
                <w:rFonts w:asciiTheme="minorEastAsia" w:hAnsiTheme="minorEastAsia" w:cstheme="minorEastAsia"/>
                <w:sz w:val="24"/>
              </w:rPr>
            </w:pPr>
            <w:r>
              <w:rPr>
                <w:sz w:val="24"/>
              </w:rPr>
              <w:t>1727040457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center"/>
              <w:rPr>
                <w:rFonts w:asciiTheme="minorEastAsia" w:hAnsiTheme="minorEastAsia" w:cstheme="minorEastAsia"/>
                <w:sz w:val="24"/>
              </w:rPr>
            </w:pPr>
            <w:r>
              <w:rPr>
                <w:rFonts w:hint="eastAsia" w:asciiTheme="minorEastAsia" w:hAnsiTheme="minorEastAsia" w:cstheme="minorEastAsia"/>
                <w:sz w:val="24"/>
              </w:rPr>
              <w:t>20级</w:t>
            </w:r>
          </w:p>
        </w:tc>
        <w:tc>
          <w:tcPr>
            <w:tcW w:w="2841" w:type="dxa"/>
          </w:tcPr>
          <w:p>
            <w:pPr>
              <w:spacing w:line="360" w:lineRule="auto"/>
              <w:jc w:val="center"/>
              <w:rPr>
                <w:rFonts w:asciiTheme="minorEastAsia" w:hAnsiTheme="minorEastAsia" w:cstheme="minorEastAsia"/>
                <w:sz w:val="24"/>
              </w:rPr>
            </w:pPr>
            <w:r>
              <w:rPr>
                <w:rFonts w:hint="eastAsia"/>
                <w:sz w:val="24"/>
              </w:rPr>
              <w:t>秘书处赵可欣</w:t>
            </w:r>
          </w:p>
        </w:tc>
        <w:tc>
          <w:tcPr>
            <w:tcW w:w="2841" w:type="dxa"/>
          </w:tcPr>
          <w:p>
            <w:pPr>
              <w:spacing w:line="360" w:lineRule="auto"/>
              <w:jc w:val="center"/>
              <w:rPr>
                <w:rFonts w:asciiTheme="minorEastAsia" w:hAnsiTheme="minorEastAsia" w:cstheme="minorEastAsia"/>
                <w:sz w:val="24"/>
              </w:rPr>
            </w:pPr>
            <w:r>
              <w:rPr>
                <w:sz w:val="24"/>
              </w:rPr>
              <w:t>766477033</w:t>
            </w:r>
          </w:p>
        </w:tc>
      </w:tr>
    </w:tbl>
    <w:p>
      <w:pPr>
        <w:spacing w:line="360" w:lineRule="auto"/>
        <w:ind w:left="420" w:leftChars="200"/>
        <w:jc w:val="center"/>
        <w:rPr>
          <w:rFonts w:asciiTheme="minorEastAsia" w:hAnsiTheme="minorEastAsia" w:cstheme="minorEastAsia"/>
          <w:sz w:val="24"/>
        </w:rPr>
      </w:pPr>
    </w:p>
    <w:p>
      <w:pPr>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6、学院审核与学工处审核。</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补充说明</w:t>
      </w:r>
    </w:p>
    <w:p>
      <w:pPr>
        <w:spacing w:line="360" w:lineRule="auto"/>
        <w:ind w:firstLine="480" w:firstLineChars="200"/>
        <w:rPr>
          <w:rFonts w:asciiTheme="minorEastAsia" w:hAnsiTheme="minorEastAsia" w:cstheme="minorEastAsia"/>
          <w:sz w:val="24"/>
          <w:highlight w:val="yellow"/>
        </w:rPr>
      </w:pPr>
      <w:r>
        <w:rPr>
          <w:rFonts w:hint="eastAsia" w:asciiTheme="minorEastAsia" w:hAnsiTheme="minorEastAsia" w:cstheme="minorEastAsia"/>
          <w:sz w:val="24"/>
          <w:highlight w:val="yellow"/>
        </w:rPr>
        <w:t>1、20级的全体同学要回到今年6月份专业分流前的</w:t>
      </w:r>
      <w:r>
        <w:rPr>
          <w:rFonts w:hint="eastAsia" w:asciiTheme="minorEastAsia" w:hAnsiTheme="minorEastAsia" w:cstheme="minorEastAsia"/>
          <w:b/>
          <w:bCs/>
          <w:color w:val="FF0000"/>
          <w:sz w:val="24"/>
          <w:highlight w:val="yellow"/>
        </w:rPr>
        <w:t>老班级</w:t>
      </w:r>
      <w:r>
        <w:rPr>
          <w:rFonts w:hint="eastAsia" w:asciiTheme="minorEastAsia" w:hAnsiTheme="minorEastAsia" w:cstheme="minorEastAsia"/>
          <w:sz w:val="24"/>
          <w:highlight w:val="yellow"/>
        </w:rPr>
        <w:t>进行奖学金的参评。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highlight w:val="yellow"/>
        </w:rPr>
        <w:t>2、凡同时符合两项及以上获奖条件的同一事由，只能申请一项奖学金，学习成绩优秀奖学金和学习进步奖学金不能同时享受</w:t>
      </w:r>
    </w:p>
    <w:p>
      <w:pPr>
        <w:spacing w:line="360" w:lineRule="auto"/>
        <w:ind w:firstLine="480" w:firstLineChars="200"/>
        <w:rPr>
          <w:rFonts w:asciiTheme="minorEastAsia" w:hAnsiTheme="minorEastAsia" w:cstheme="minorEastAsia"/>
          <w:sz w:val="24"/>
          <w:highlight w:val="yellow"/>
        </w:rPr>
      </w:pPr>
      <w:r>
        <w:rPr>
          <w:rFonts w:hint="eastAsia" w:asciiTheme="minorEastAsia" w:hAnsiTheme="minorEastAsia" w:cstheme="minorEastAsia"/>
          <w:sz w:val="24"/>
          <w:highlight w:val="yellow"/>
        </w:rPr>
        <w:t>3、2020至2021学年度取得的成绩与奖项才能纳入本次奖学金的评选范围，其余学年度内取得的奖项与成绩无效，不纳入本次的奖学金评选。</w:t>
      </w:r>
    </w:p>
    <w:p>
      <w:pPr>
        <w:spacing w:line="360" w:lineRule="auto"/>
        <w:ind w:firstLine="480" w:firstLineChars="200"/>
        <w:rPr>
          <w:rFonts w:asciiTheme="minorEastAsia" w:hAnsiTheme="minorEastAsia" w:cstheme="minorEastAsia"/>
          <w:sz w:val="24"/>
          <w:highlight w:val="yellow"/>
        </w:rPr>
      </w:pPr>
      <w:r>
        <w:rPr>
          <w:rFonts w:hint="eastAsia" w:asciiTheme="minorEastAsia" w:hAnsiTheme="minorEastAsia" w:cstheme="minorEastAsia"/>
          <w:sz w:val="24"/>
          <w:highlight w:val="yellow"/>
        </w:rPr>
        <w:t>4、《账户统计表格》里的银行卡号必须是</w:t>
      </w:r>
      <w:r>
        <w:rPr>
          <w:rFonts w:hint="eastAsia" w:asciiTheme="minorEastAsia" w:hAnsiTheme="minorEastAsia" w:cstheme="minorEastAsia"/>
          <w:b/>
          <w:bCs/>
          <w:color w:val="FF0000"/>
          <w:sz w:val="24"/>
          <w:highlight w:val="yellow"/>
        </w:rPr>
        <w:t>农行卡号</w:t>
      </w:r>
      <w:r>
        <w:rPr>
          <w:rFonts w:hint="eastAsia" w:asciiTheme="minorEastAsia" w:hAnsiTheme="minorEastAsia" w:cstheme="minorEastAsia"/>
          <w:sz w:val="24"/>
          <w:highlight w:val="yellow"/>
        </w:rPr>
        <w:t>，其他银行的卡号不行。</w:t>
      </w:r>
    </w:p>
    <w:p>
      <w:pPr>
        <w:spacing w:line="360" w:lineRule="auto"/>
        <w:ind w:left="420" w:leftChars="200"/>
        <w:rPr>
          <w:rFonts w:asciiTheme="minorEastAsia" w:hAnsiTheme="minorEastAsia" w:cstheme="minorEastAsia"/>
          <w:sz w:val="24"/>
          <w:highlight w:val="yellow"/>
        </w:rPr>
      </w:pPr>
    </w:p>
    <w:p>
      <w:pPr>
        <w:spacing w:line="360" w:lineRule="auto"/>
        <w:rPr>
          <w:rFonts w:asciiTheme="minorEastAsia" w:hAnsiTheme="minorEastAsia" w:cstheme="minorEastAsia"/>
          <w:sz w:val="24"/>
        </w:rPr>
      </w:pPr>
    </w:p>
    <w:p>
      <w:pPr>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附件1：奖学金评选办法</w:t>
      </w:r>
    </w:p>
    <w:p>
      <w:pPr>
        <w:spacing w:line="360" w:lineRule="auto"/>
        <w:ind w:left="420" w:leftChars="200"/>
        <w:rPr>
          <w:rFonts w:asciiTheme="minorEastAsia" w:hAnsiTheme="minorEastAsia" w:cstheme="minorEastAsia"/>
          <w:sz w:val="24"/>
        </w:rPr>
      </w:pPr>
    </w:p>
    <w:p>
      <w:pPr>
        <w:spacing w:line="360" w:lineRule="auto"/>
        <w:jc w:val="left"/>
        <w:rPr>
          <w:rFonts w:asciiTheme="minorEastAsia" w:hAnsiTheme="minorEastAsia" w:cstheme="minorEastAsia"/>
          <w:b/>
          <w:bCs/>
          <w:sz w:val="24"/>
        </w:rPr>
      </w:pPr>
      <w:r>
        <w:rPr>
          <w:rFonts w:hint="eastAsia" w:asciiTheme="minorEastAsia" w:hAnsiTheme="minorEastAsia" w:cstheme="minorEastAsia"/>
          <w:b/>
          <w:bCs/>
          <w:sz w:val="24"/>
        </w:rPr>
        <w:t>第一部分  奖学金评选细则（节选）：</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第五条</w:t>
      </w:r>
      <w:r>
        <w:rPr>
          <w:rFonts w:hint="eastAsia" w:asciiTheme="minorEastAsia" w:hAnsiTheme="minorEastAsia" w:cstheme="minorEastAsia"/>
          <w:sz w:val="24"/>
        </w:rPr>
        <w:t xml:space="preserve"> 申请奖学金的学生应符合以下基本条件：</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 坚持四项基本原则，严格遵守《普通高等学校学生管理规定》、《高等学校学生行为准则》和学校各项规章制度；</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 团结友爱，明礼诚信，积极参加集体活动，具有团结协作精神；</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 学习态度端正，本学年度所有课程（不包含公共选修课）考核全部合格（特殊情况，须经学校批准后参加评选）；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 本学年度未受到学校警告及以上纪律处分。</w:t>
      </w:r>
    </w:p>
    <w:p>
      <w:pPr>
        <w:spacing w:line="360" w:lineRule="auto"/>
        <w:jc w:val="center"/>
        <w:rPr>
          <w:rFonts w:asciiTheme="minorEastAsia" w:hAnsiTheme="minorEastAsia" w:cstheme="minorEastAsia"/>
          <w:b/>
          <w:sz w:val="24"/>
        </w:rPr>
      </w:pPr>
      <w:r>
        <w:rPr>
          <w:rFonts w:hint="eastAsia" w:asciiTheme="minorEastAsia" w:hAnsiTheme="minorEastAsia" w:cstheme="minorEastAsia"/>
          <w:b/>
          <w:sz w:val="24"/>
        </w:rPr>
        <w:t>优秀学生奖学金</w:t>
      </w:r>
    </w:p>
    <w:p>
      <w:pPr>
        <w:spacing w:line="360" w:lineRule="auto"/>
        <w:ind w:firstLine="482" w:firstLineChars="200"/>
        <w:rPr>
          <w:rFonts w:asciiTheme="minorEastAsia" w:hAnsiTheme="minorEastAsia" w:cstheme="minorEastAsia"/>
          <w:sz w:val="24"/>
          <w:highlight w:val="yellow"/>
        </w:rPr>
      </w:pPr>
      <w:r>
        <w:rPr>
          <w:rFonts w:hint="eastAsia" w:asciiTheme="minorEastAsia" w:hAnsiTheme="minorEastAsia" w:cstheme="minorEastAsia"/>
          <w:b/>
          <w:sz w:val="24"/>
        </w:rPr>
        <w:t>第九条</w:t>
      </w:r>
      <w:r>
        <w:rPr>
          <w:rFonts w:hint="eastAsia" w:asciiTheme="minorEastAsia" w:hAnsiTheme="minorEastAsia" w:cstheme="minorEastAsia"/>
          <w:sz w:val="24"/>
        </w:rPr>
        <w:t xml:space="preserve"> 优秀学生奖学</w:t>
      </w:r>
      <w:r>
        <w:rPr>
          <w:rFonts w:hint="eastAsia" w:asciiTheme="minorEastAsia" w:hAnsiTheme="minorEastAsia" w:cstheme="minorEastAsia"/>
          <w:spacing w:val="-8"/>
          <w:sz w:val="24"/>
        </w:rPr>
        <w:t>金用于奖励品学兼优，德、智、体全面</w:t>
      </w:r>
      <w:r>
        <w:rPr>
          <w:rFonts w:hint="eastAsia" w:asciiTheme="minorEastAsia" w:hAnsiTheme="minorEastAsia" w:cstheme="minorEastAsia"/>
          <w:sz w:val="24"/>
        </w:rPr>
        <w:t>发展的学生。（参照综合测评成绩）</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 xml:space="preserve">第十条 </w:t>
      </w:r>
      <w:r>
        <w:rPr>
          <w:rFonts w:hint="eastAsia" w:asciiTheme="minorEastAsia" w:hAnsiTheme="minorEastAsia" w:cstheme="minorEastAsia"/>
          <w:sz w:val="24"/>
        </w:rPr>
        <w:t>优秀学生奖学金分为一、二、三等。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一等优秀学生奖学金：1800元／人，获奖人数占学生总数的3%;</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二等优秀学生奖学金：1200元／人，获奖人数占学生总数的7%;</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三等优秀学生奖学金：800元／人，获奖人数占学生总数的15%。</w:t>
      </w:r>
    </w:p>
    <w:p>
      <w:pPr>
        <w:spacing w:line="360" w:lineRule="auto"/>
        <w:jc w:val="center"/>
        <w:rPr>
          <w:rFonts w:asciiTheme="minorEastAsia" w:hAnsiTheme="minorEastAsia" w:cstheme="minorEastAsia"/>
          <w:b/>
          <w:sz w:val="24"/>
        </w:rPr>
      </w:pPr>
      <w:r>
        <w:rPr>
          <w:rFonts w:hint="eastAsia" w:asciiTheme="minorEastAsia" w:hAnsiTheme="minorEastAsia" w:cstheme="minorEastAsia"/>
          <w:b/>
          <w:sz w:val="24"/>
        </w:rPr>
        <w:t>学习成绩优秀奖学金</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第十一条</w:t>
      </w:r>
      <w:r>
        <w:rPr>
          <w:rFonts w:hint="eastAsia" w:asciiTheme="minorEastAsia" w:hAnsiTheme="minorEastAsia" w:cstheme="minorEastAsia"/>
          <w:sz w:val="24"/>
        </w:rPr>
        <w:t xml:space="preserve"> 学习成绩优秀奖学金用于奖励学生中品学兼优且成绩特别优秀的学生，获奖者本学年平均学分绩名列本专业年级前4%。（直接参照</w:t>
      </w:r>
      <w:r>
        <w:rPr>
          <w:rFonts w:hint="eastAsia" w:asciiTheme="minorEastAsia" w:hAnsiTheme="minorEastAsia" w:cstheme="minorEastAsia"/>
          <w:sz w:val="24"/>
          <w:lang w:val="en-US" w:eastAsia="zh-CN"/>
        </w:rPr>
        <w:t>20</w:t>
      </w:r>
      <w:r>
        <w:rPr>
          <w:rFonts w:hint="eastAsia" w:asciiTheme="minorEastAsia" w:hAnsiTheme="minorEastAsia" w:cstheme="minorEastAsia"/>
          <w:sz w:val="24"/>
        </w:rPr>
        <w:t>-</w:t>
      </w:r>
      <w:r>
        <w:rPr>
          <w:rFonts w:hint="eastAsia" w:asciiTheme="minorEastAsia" w:hAnsiTheme="minorEastAsia" w:cstheme="minorEastAsia"/>
          <w:sz w:val="24"/>
          <w:lang w:val="en-US" w:eastAsia="zh-CN"/>
        </w:rPr>
        <w:t>21</w:t>
      </w:r>
      <w:bookmarkStart w:id="0" w:name="_GoBack"/>
      <w:bookmarkEnd w:id="0"/>
      <w:r>
        <w:rPr>
          <w:rFonts w:hint="eastAsia" w:asciiTheme="minorEastAsia" w:hAnsiTheme="minorEastAsia" w:cstheme="minorEastAsia"/>
          <w:sz w:val="24"/>
        </w:rPr>
        <w:t>学年学习成绩）</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第十二条</w:t>
      </w:r>
      <w:r>
        <w:rPr>
          <w:rFonts w:hint="eastAsia" w:asciiTheme="minorEastAsia" w:hAnsiTheme="minorEastAsia" w:cstheme="minorEastAsia"/>
          <w:sz w:val="24"/>
        </w:rPr>
        <w:t xml:space="preserve"> 学习成绩优秀奖学金分甲、乙两等。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甲等学习成绩优秀奖学金：600元／人，获奖人数占学生总数的2%；</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乙等学习成绩优秀奖学金：400元／人，获奖人数占学生总数的2%。</w:t>
      </w:r>
    </w:p>
    <w:p>
      <w:pPr>
        <w:spacing w:line="360" w:lineRule="auto"/>
        <w:rPr>
          <w:rFonts w:asciiTheme="minorEastAsia" w:hAnsiTheme="minorEastAsia" w:cstheme="minorEastAsia"/>
          <w:b/>
          <w:sz w:val="24"/>
        </w:rPr>
      </w:pPr>
    </w:p>
    <w:p>
      <w:pPr>
        <w:spacing w:line="360" w:lineRule="auto"/>
        <w:rPr>
          <w:rFonts w:asciiTheme="minorEastAsia" w:hAnsiTheme="minorEastAsia" w:cstheme="minorEastAsia"/>
          <w:b/>
          <w:sz w:val="24"/>
        </w:rPr>
      </w:pPr>
      <w:r>
        <w:rPr>
          <w:rFonts w:hint="eastAsia" w:asciiTheme="minorEastAsia" w:hAnsiTheme="minorEastAsia" w:cstheme="minorEastAsia"/>
          <w:b/>
          <w:sz w:val="24"/>
        </w:rPr>
        <w:t>第二部分  奖学金评定管理</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第二十一条</w:t>
      </w:r>
      <w:r>
        <w:rPr>
          <w:rFonts w:hint="eastAsia" w:asciiTheme="minorEastAsia" w:hAnsiTheme="minorEastAsia" w:cstheme="minorEastAsia"/>
          <w:sz w:val="24"/>
        </w:rPr>
        <w:t xml:space="preserve"> 优秀学生奖学金、专业奖学金，非毕业班学生依据上学年综合测评成绩评定，毕业班学生依据在校前三年半(或二年半)的综合测评成绩评定。</w:t>
      </w:r>
    </w:p>
    <w:p>
      <w:pPr>
        <w:spacing w:line="360" w:lineRule="auto"/>
        <w:ind w:firstLine="482" w:firstLineChars="200"/>
        <w:rPr>
          <w:rFonts w:asciiTheme="minorEastAsia" w:hAnsiTheme="minorEastAsia" w:cstheme="minorEastAsia"/>
          <w:sz w:val="24"/>
          <w:highlight w:val="green"/>
        </w:rPr>
      </w:pPr>
      <w:r>
        <w:rPr>
          <w:rFonts w:hint="eastAsia" w:asciiTheme="minorEastAsia" w:hAnsiTheme="minorEastAsia" w:cstheme="minorEastAsia"/>
          <w:b/>
          <w:sz w:val="24"/>
        </w:rPr>
        <w:t>第二十二条</w:t>
      </w:r>
      <w:r>
        <w:rPr>
          <w:rFonts w:hint="eastAsia" w:asciiTheme="minorEastAsia" w:hAnsiTheme="minorEastAsia" w:cstheme="minorEastAsia"/>
          <w:sz w:val="24"/>
        </w:rPr>
        <w:t xml:space="preserve"> 一等专业或优秀学生奖学金申请者，本学年内所学课程平均学分绩排名原则上在本专业年级前10%以内；二等专业或优秀学生奖学金申请者，本学年内所学课程平均学分绩排名原则上在本专业年级前20%以内。</w:t>
      </w:r>
    </w:p>
    <w:p>
      <w:pPr>
        <w:spacing w:line="360" w:lineRule="auto"/>
        <w:ind w:firstLine="472" w:firstLineChars="196"/>
        <w:rPr>
          <w:rFonts w:asciiTheme="minorEastAsia" w:hAnsiTheme="minorEastAsia" w:cstheme="minorEastAsia"/>
          <w:sz w:val="24"/>
        </w:rPr>
      </w:pPr>
      <w:r>
        <w:rPr>
          <w:rFonts w:hint="eastAsia" w:asciiTheme="minorEastAsia" w:hAnsiTheme="minorEastAsia" w:cstheme="minorEastAsia"/>
          <w:b/>
          <w:sz w:val="24"/>
        </w:rPr>
        <w:t xml:space="preserve">第二十三条 </w:t>
      </w:r>
      <w:r>
        <w:rPr>
          <w:rFonts w:hint="eastAsia" w:asciiTheme="minorEastAsia" w:hAnsiTheme="minorEastAsia" w:cstheme="minorEastAsia"/>
          <w:sz w:val="24"/>
        </w:rPr>
        <w:t>同一学年内，奖学金采取不重复表彰原则：</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1. </w:t>
      </w:r>
      <w:r>
        <w:rPr>
          <w:rFonts w:hint="eastAsia" w:asciiTheme="minorEastAsia" w:hAnsiTheme="minorEastAsia" w:cstheme="minorEastAsia"/>
          <w:sz w:val="24"/>
          <w:highlight w:val="yellow"/>
        </w:rPr>
        <w:t>凡同时符合两项及以上获奖条件的同一事由，只能申请一项奖学金，学习成绩优秀奖学金和学习进步奖学金不能同时享受</w:t>
      </w:r>
      <w:r>
        <w:rPr>
          <w:rFonts w:hint="eastAsia" w:asciiTheme="minorEastAsia" w:hAnsiTheme="minorEastAsia" w:cstheme="minorEastAsia"/>
          <w:sz w:val="24"/>
        </w:rPr>
        <w:t>；有特殊贡献者，由学校另作奖励；</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 以团队形式参赛获奖、发表作品、发明创造并申请奖学金的，向学生团队发放奖金，不重复奖励个人；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 学校另行表彰并已发放奖金的，只颁发荣誉证书。</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 xml:space="preserve">第二十七条 </w:t>
      </w:r>
      <w:r>
        <w:rPr>
          <w:rFonts w:hint="eastAsia" w:asciiTheme="minorEastAsia" w:hAnsiTheme="minorEastAsia" w:cstheme="minorEastAsia"/>
          <w:sz w:val="24"/>
        </w:rPr>
        <w:t>已获得奖学金的学生，如受到严重警告及以下处分，学校收回1/2的奖学金；如受到记过及以上处分，学校收回奖学金全额。收回的奖学金纳入学校奖助经费使用。</w:t>
      </w:r>
    </w:p>
    <w:p>
      <w:pPr>
        <w:spacing w:line="360" w:lineRule="auto"/>
        <w:rPr>
          <w:rFonts w:asciiTheme="minorEastAsia" w:hAnsiTheme="minorEastAsia" w:cstheme="minorEastAsia"/>
          <w:sz w:val="24"/>
        </w:rPr>
      </w:pPr>
    </w:p>
    <w:p>
      <w:pPr>
        <w:spacing w:line="360" w:lineRule="auto"/>
        <w:rPr>
          <w:rFonts w:asciiTheme="minorEastAsia" w:hAnsiTheme="minorEastAsia" w:cstheme="minorEastAsia"/>
          <w:b/>
          <w:sz w:val="24"/>
        </w:rPr>
      </w:pPr>
      <w:r>
        <w:rPr>
          <w:rFonts w:hint="eastAsia" w:asciiTheme="minorEastAsia" w:hAnsiTheme="minorEastAsia" w:cstheme="minorEastAsia"/>
          <w:b/>
          <w:sz w:val="24"/>
        </w:rPr>
        <w:t>第三部分  学生综合测评办法</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综合测评包括德、智、体和奖励四个方面的内容，综合测评和其他项总分均为100分，具体计分比例各学院可自行确定，但智育所占比例不得小于60%。</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具体计分公式原则上如下：</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综合测评分=德育综合分×20%+智育综合分×60%+体育综合分×10%+奖励分×10%</w:t>
      </w:r>
    </w:p>
    <w:p>
      <w:pPr>
        <w:adjustRightInd w:val="0"/>
        <w:snapToGrid w:val="0"/>
        <w:spacing w:line="360" w:lineRule="auto"/>
        <w:jc w:val="center"/>
        <w:rPr>
          <w:rFonts w:asciiTheme="minorEastAsia" w:hAnsiTheme="minorEastAsia" w:cstheme="minorEastAsia"/>
          <w:sz w:val="24"/>
        </w:rPr>
      </w:pPr>
      <w:r>
        <w:rPr>
          <w:rFonts w:hint="eastAsia" w:asciiTheme="minorEastAsia" w:hAnsiTheme="minorEastAsia" w:cstheme="minorEastAsia"/>
          <w:sz w:val="24"/>
        </w:rPr>
        <w:t>德育综合分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第六条 同时具备下列条件的学生可获基本分60分。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1.坚持四项基本原则，拥护党的路线、方针、政策，具有建设有中国特色社会主义的理想和信念。</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2.自觉加强马列主义、毛泽东思想、邓小平理论、“三个代表”重要思想和科学发展观的学习，具有正确的世界观、人生观、价值观，积极要求进步。</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3.遵守国家法律法规，严守学校各项规章制度。</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4.坚持真理、主持正义、拒绝邪教，自觉抵制歪风邪气，具有良好的社会公德。</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5.关心集体，积极参加社会实践活动，热心公益事业。</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6.尊敬师长，团结同学，诚实守信，乐于助人。</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7.具有良好卫生习惯，自觉维护公共卫生。</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第七条 学生自评，满分10分。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第八条 班级测评小组测评，满分10分。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第九条 班主任测评，满分20分。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第十条 有下列情况之一者扣除相应分数</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1.学校通报批评、校级处分者，扣除40分。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2.扰乱学校教学、校园生活秩序者，扣除20分。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3.受学院通报批评、故意损坏公物者，扣除10分。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4.无故不参加政治学习、组织生活、班会或党团日活动者，扣除10分。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5.在自习时间内有吵闹、打牌及其他不良行为者，扣除10分。</w:t>
      </w:r>
    </w:p>
    <w:p>
      <w:pPr>
        <w:adjustRightInd w:val="0"/>
        <w:snapToGrid w:val="0"/>
        <w:spacing w:line="360" w:lineRule="auto"/>
        <w:ind w:firstLine="480" w:firstLineChars="200"/>
        <w:rPr>
          <w:rFonts w:asciiTheme="minorEastAsia" w:hAnsiTheme="minorEastAsia" w:cstheme="minorEastAsia"/>
          <w:sz w:val="24"/>
        </w:rPr>
      </w:pPr>
    </w:p>
    <w:p>
      <w:pPr>
        <w:adjustRightInd w:val="0"/>
        <w:snapToGrid w:val="0"/>
        <w:spacing w:line="360" w:lineRule="auto"/>
        <w:jc w:val="center"/>
        <w:rPr>
          <w:rFonts w:asciiTheme="minorEastAsia" w:hAnsiTheme="minorEastAsia" w:cstheme="minorEastAsia"/>
          <w:sz w:val="24"/>
        </w:rPr>
      </w:pPr>
      <w:r>
        <w:rPr>
          <w:rFonts w:hint="eastAsia" w:asciiTheme="minorEastAsia" w:hAnsiTheme="minorEastAsia" w:cstheme="minorEastAsia"/>
          <w:sz w:val="24"/>
        </w:rPr>
        <w:t>智育综合分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第十一条 智育成绩的测算参照教务处学生学习成绩计算办法，计算公式如下：</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mc:AlternateContent>
          <mc:Choice Requires="wps">
            <w:drawing>
              <wp:anchor distT="0" distB="0" distL="114300" distR="114300" simplePos="0" relativeHeight="251659264" behindDoc="0" locked="0" layoutInCell="1" allowOverlap="1">
                <wp:simplePos x="0" y="0"/>
                <wp:positionH relativeFrom="column">
                  <wp:posOffset>1373505</wp:posOffset>
                </wp:positionH>
                <wp:positionV relativeFrom="paragraph">
                  <wp:posOffset>2540</wp:posOffset>
                </wp:positionV>
                <wp:extent cx="1689735" cy="418465"/>
                <wp:effectExtent l="4445" t="5080" r="20320" b="14605"/>
                <wp:wrapNone/>
                <wp:docPr id="2" name="文本框 2"/>
                <wp:cNvGraphicFramePr/>
                <a:graphic xmlns:a="http://schemas.openxmlformats.org/drawingml/2006/main">
                  <a:graphicData uri="http://schemas.microsoft.com/office/word/2010/wordprocessingShape">
                    <wps:wsp>
                      <wps:cNvSpPr txBox="1"/>
                      <wps:spPr>
                        <a:xfrm>
                          <a:off x="0" y="0"/>
                          <a:ext cx="1689735" cy="41846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240" w:lineRule="exact"/>
                              <w:rPr>
                                <w:rFonts w:ascii="STKaiti" w:hAnsi="STKaiti" w:eastAsia="STKaiti" w:cs="STKaiti"/>
                                <w:sz w:val="18"/>
                                <w:szCs w:val="18"/>
                              </w:rPr>
                            </w:pPr>
                            <w:r>
                              <w:rPr>
                                <w:rFonts w:hint="eastAsia" w:ascii="STKaiti" w:hAnsi="STKaiti" w:eastAsia="STKaiti" w:cs="STKaiti"/>
                                <w:sz w:val="18"/>
                                <w:szCs w:val="18"/>
                              </w:rPr>
                              <w:t>Σ(每门课的考分×学分数)</w:t>
                            </w:r>
                          </w:p>
                          <w:p>
                            <w:pPr>
                              <w:ind w:firstLine="720" w:firstLineChars="400"/>
                              <w:rPr>
                                <w:rFonts w:ascii="STKaiti" w:hAnsi="STKaiti" w:eastAsia="STKaiti" w:cs="STKaiti"/>
                                <w:sz w:val="18"/>
                                <w:szCs w:val="18"/>
                              </w:rPr>
                            </w:pPr>
                            <w:r>
                              <w:rPr>
                                <w:rFonts w:hint="eastAsia" w:ascii="STKaiti" w:hAnsi="STKaiti" w:eastAsia="STKaiti" w:cs="STKaiti"/>
                                <w:sz w:val="18"/>
                                <w:szCs w:val="18"/>
                              </w:rPr>
                              <w:t>Σ学分数</w:t>
                            </w:r>
                          </w:p>
                        </w:txbxContent>
                      </wps:txbx>
                      <wps:bodyPr upright="1"/>
                    </wps:wsp>
                  </a:graphicData>
                </a:graphic>
              </wp:anchor>
            </w:drawing>
          </mc:Choice>
          <mc:Fallback>
            <w:pict>
              <v:shape id="_x0000_s1026" o:spid="_x0000_s1026" o:spt="202" type="#_x0000_t202" style="position:absolute;left:0pt;margin-left:108.15pt;margin-top:0.2pt;height:32.95pt;width:133.05pt;z-index:251659264;mso-width-relative:page;mso-height-relative:page;" fillcolor="#FFFFFF" filled="t" stroked="t" coordsize="21600,21600" o:gfxdata="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Y1FmNUAAAAHAQAADwAAAAAAAAABACAAAAAiAAAAZHJz&#10;L2Rvd25yZXYueG1sUEsBAhQAFAAAAAgAh07iQICh45YHAgAANgQAAA4AAAAAAAAAAQAgAAAAJAEA&#10;AGRycy9lMm9Eb2MueG1sUEsFBgAAAAAGAAYAWQEAAJ0FAAAAAA==&#10;">
                <v:fill on="t" focussize="0,0"/>
                <v:stroke color="#FFFFFF" joinstyle="miter"/>
                <v:imagedata o:title=""/>
                <o:lock v:ext="edit" aspectratio="f"/>
                <v:textbox>
                  <w:txbxContent>
                    <w:p>
                      <w:pPr>
                        <w:spacing w:line="240" w:lineRule="exact"/>
                        <w:rPr>
                          <w:rFonts w:ascii="STKaiti" w:hAnsi="STKaiti" w:eastAsia="STKaiti" w:cs="STKaiti"/>
                          <w:sz w:val="18"/>
                          <w:szCs w:val="18"/>
                        </w:rPr>
                      </w:pPr>
                      <w:r>
                        <w:rPr>
                          <w:rFonts w:hint="eastAsia" w:ascii="STKaiti" w:hAnsi="STKaiti" w:eastAsia="STKaiti" w:cs="STKaiti"/>
                          <w:sz w:val="18"/>
                          <w:szCs w:val="18"/>
                        </w:rPr>
                        <w:t>Σ(每门课的考分×学分数)</w:t>
                      </w:r>
                    </w:p>
                    <w:p>
                      <w:pPr>
                        <w:ind w:firstLine="720" w:firstLineChars="400"/>
                        <w:rPr>
                          <w:rFonts w:ascii="STKaiti" w:hAnsi="STKaiti" w:eastAsia="STKaiti" w:cs="STKaiti"/>
                          <w:sz w:val="18"/>
                          <w:szCs w:val="18"/>
                        </w:rPr>
                      </w:pPr>
                      <w:r>
                        <w:rPr>
                          <w:rFonts w:hint="eastAsia" w:ascii="STKaiti" w:hAnsi="STKaiti" w:eastAsia="STKaiti" w:cs="STKaiti"/>
                          <w:sz w:val="18"/>
                          <w:szCs w:val="18"/>
                        </w:rPr>
                        <w:t>Σ学分数</w:t>
                      </w:r>
                    </w:p>
                  </w:txbxContent>
                </v:textbox>
              </v:shape>
            </w:pict>
          </mc:Fallback>
        </mc:AlternateContent>
      </w:r>
      <w:r>
        <w:rPr>
          <w:rFonts w:hint="eastAsia" w:asciiTheme="minorEastAsia" w:hAnsiTheme="minorEastAsia" w:cstheme="minorEastAsia"/>
          <w:sz w:val="24"/>
        </w:rPr>
        <mc:AlternateContent>
          <mc:Choice Requires="wps">
            <w:drawing>
              <wp:anchor distT="0" distB="0" distL="114300" distR="114300" simplePos="0" relativeHeight="251660288" behindDoc="0" locked="0" layoutInCell="1" allowOverlap="1">
                <wp:simplePos x="0" y="0"/>
                <wp:positionH relativeFrom="column">
                  <wp:posOffset>1371600</wp:posOffset>
                </wp:positionH>
                <wp:positionV relativeFrom="paragraph">
                  <wp:posOffset>190500</wp:posOffset>
                </wp:positionV>
                <wp:extent cx="1828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1828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08pt;margin-top:15pt;height:0pt;width:144pt;z-index:251660288;mso-width-relative:page;mso-height-relative:page;" filled="f" stroked="t" coordsize="21600,21600" o:gfxdata="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P9A&#10;ZdUAAAAJAQAADwAAAAAAAAABACAAAAAiAAAAZHJzL2Rvd25yZXYueG1sUEsBAhQAFAAAAAgAh07i&#10;QJagt4DsAQAA2AMAAA4AAAAAAAAAAQAgAAAAJAEAAGRycy9lMm9Eb2MueG1sUEsFBgAAAAAGAAYA&#10;WQEAAIIFAAAAAA==&#10;">
                <v:fill on="f" focussize="0,0"/>
                <v:stroke color="#000000" joinstyle="round"/>
                <v:imagedata o:title=""/>
                <o:lock v:ext="edit" aspectratio="f"/>
              </v:line>
            </w:pict>
          </mc:Fallback>
        </mc:AlternateContent>
      </w:r>
      <w:r>
        <w:rPr>
          <w:rFonts w:hint="eastAsia" w:asciiTheme="minorEastAsia" w:hAnsiTheme="minorEastAsia" w:cstheme="minorEastAsia"/>
          <w:sz w:val="24"/>
        </w:rPr>
        <w:t>智育综合分＝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 xml:space="preserve">　　　　　　　　 </w:t>
      </w:r>
    </w:p>
    <w:p>
      <w:pPr>
        <w:adjustRightInd w:val="0"/>
        <w:snapToGrid w:val="0"/>
        <w:spacing w:line="360" w:lineRule="auto"/>
        <w:ind w:firstLine="480"/>
        <w:rPr>
          <w:rFonts w:asciiTheme="minorEastAsia" w:hAnsiTheme="minorEastAsia" w:cstheme="minorEastAsia"/>
          <w:sz w:val="24"/>
        </w:rPr>
      </w:pP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考查课换算成百分制为：优/90，良/80分，及格/60，不及格/40分。</w:t>
      </w:r>
    </w:p>
    <w:p>
      <w:pPr>
        <w:tabs>
          <w:tab w:val="left" w:pos="5961"/>
        </w:tabs>
        <w:adjustRightInd w:val="0"/>
        <w:snapToGrid w:val="0"/>
        <w:spacing w:line="360" w:lineRule="auto"/>
        <w:jc w:val="left"/>
        <w:rPr>
          <w:rFonts w:asciiTheme="minorEastAsia" w:hAnsiTheme="minorEastAsia" w:cstheme="minorEastAsia"/>
          <w:sz w:val="24"/>
        </w:rPr>
      </w:pPr>
      <w:r>
        <w:rPr>
          <w:rFonts w:hint="eastAsia" w:asciiTheme="minorEastAsia" w:hAnsiTheme="minorEastAsia" w:cstheme="minorEastAsia"/>
          <w:sz w:val="24"/>
        </w:rPr>
        <w:tab/>
      </w:r>
    </w:p>
    <w:p>
      <w:pPr>
        <w:adjustRightInd w:val="0"/>
        <w:snapToGrid w:val="0"/>
        <w:spacing w:line="360" w:lineRule="auto"/>
        <w:jc w:val="center"/>
        <w:rPr>
          <w:rFonts w:asciiTheme="minorEastAsia" w:hAnsiTheme="minorEastAsia" w:cstheme="minorEastAsia"/>
          <w:sz w:val="24"/>
        </w:rPr>
      </w:pPr>
      <w:r>
        <w:rPr>
          <w:rFonts w:hint="eastAsia" w:asciiTheme="minorEastAsia" w:hAnsiTheme="minorEastAsia" w:cstheme="minorEastAsia"/>
          <w:sz w:val="24"/>
        </w:rPr>
        <w:t>体育综合分</w:t>
      </w:r>
    </w:p>
    <w:p>
      <w:pPr>
        <w:numPr>
          <w:ilvl w:val="0"/>
          <w:numId w:val="2"/>
        </w:num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体育达标成绩占60分，其计算公式为：</w:t>
      </w:r>
    </w:p>
    <w:p>
      <w:pPr>
        <w:adjustRightInd w:val="0"/>
        <w:snapToGrid w:val="0"/>
        <w:spacing w:line="360" w:lineRule="auto"/>
        <w:ind w:left="480"/>
        <w:rPr>
          <w:rFonts w:asciiTheme="minorEastAsia" w:hAnsiTheme="minorEastAsia" w:cstheme="minorEastAsia"/>
          <w:sz w:val="24"/>
        </w:rPr>
      </w:pPr>
      <w:r>
        <w:rPr>
          <w:rFonts w:hint="eastAsia" w:asciiTheme="minorEastAsia" w:hAnsiTheme="minorEastAsia" w:cstheme="minorEastAsia"/>
          <w:sz w:val="24"/>
        </w:rPr>
        <mc:AlternateContent>
          <mc:Choice Requires="wps">
            <w:drawing>
              <wp:anchor distT="0" distB="0" distL="114300" distR="114300" simplePos="0" relativeHeight="251661312" behindDoc="0" locked="0" layoutInCell="1" allowOverlap="1">
                <wp:simplePos x="0" y="0"/>
                <wp:positionH relativeFrom="column">
                  <wp:posOffset>1210310</wp:posOffset>
                </wp:positionH>
                <wp:positionV relativeFrom="paragraph">
                  <wp:posOffset>104140</wp:posOffset>
                </wp:positionV>
                <wp:extent cx="1860550" cy="509905"/>
                <wp:effectExtent l="4445" t="4445" r="20955" b="19050"/>
                <wp:wrapNone/>
                <wp:docPr id="3" name="文本框 3"/>
                <wp:cNvGraphicFramePr/>
                <a:graphic xmlns:a="http://schemas.openxmlformats.org/drawingml/2006/main">
                  <a:graphicData uri="http://schemas.microsoft.com/office/word/2010/wordprocessingShape">
                    <wps:wsp>
                      <wps:cNvSpPr txBox="1"/>
                      <wps:spPr>
                        <a:xfrm>
                          <a:off x="0" y="0"/>
                          <a:ext cx="1860550" cy="50990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STKaiti" w:hAnsi="STKaiti" w:eastAsia="STKaiti" w:cs="STKaiti"/>
                                <w:szCs w:val="21"/>
                                <w:u w:val="single"/>
                              </w:rPr>
                            </w:pPr>
                            <w:r>
                              <w:rPr>
                                <w:rFonts w:hint="eastAsia" w:ascii="STKaiti" w:hAnsi="STKaiti" w:eastAsia="STKaiti" w:cs="STKaiti"/>
                                <w:szCs w:val="21"/>
                                <w:u w:val="single"/>
                              </w:rPr>
                              <w:t>各项达标的总积分×60%</w:t>
                            </w:r>
                          </w:p>
                          <w:p>
                            <w:pPr>
                              <w:ind w:firstLine="630" w:firstLineChars="300"/>
                              <w:rPr>
                                <w:rFonts w:ascii="STKaiti" w:hAnsi="STKaiti" w:eastAsia="STKaiti" w:cs="STKaiti"/>
                                <w:szCs w:val="21"/>
                              </w:rPr>
                            </w:pPr>
                            <w:r>
                              <w:rPr>
                                <w:rFonts w:hint="eastAsia" w:ascii="STKaiti" w:hAnsi="STKaiti" w:eastAsia="STKaiti" w:cs="STKaiti"/>
                                <w:szCs w:val="21"/>
                              </w:rPr>
                              <w:t>测试项数</w:t>
                            </w:r>
                          </w:p>
                        </w:txbxContent>
                      </wps:txbx>
                      <wps:bodyPr upright="1"/>
                    </wps:wsp>
                  </a:graphicData>
                </a:graphic>
              </wp:anchor>
            </w:drawing>
          </mc:Choice>
          <mc:Fallback>
            <w:pict>
              <v:shape id="_x0000_s1026" o:spid="_x0000_s1026" o:spt="202" type="#_x0000_t202" style="position:absolute;left:0pt;margin-left:95.3pt;margin-top:8.2pt;height:40.15pt;width:146.5pt;z-index:251661312;mso-width-relative:page;mso-height-relative:page;" fillcolor="#FFFFFF" filled="t" stroked="t" coordsize="21600,21600" o:gfxdata="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&#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ftGO3XAAAACQEAAA8AAAAAAAAAAQAgAAAAIgAAAGRy&#10;cy9kb3ducmV2LnhtbFBLAQIUABQAAAAIAIdO4kBwmoPhBgIAADYEAAAOAAAAAAAAAAEAIAAAACYB&#10;AABkcnMvZTJvRG9jLnhtbFBLBQYAAAAABgAGAFkBAACeBQAAAAA=&#10;">
                <v:fill on="t" focussize="0,0"/>
                <v:stroke color="#FFFFFF" joinstyle="miter"/>
                <v:imagedata o:title=""/>
                <o:lock v:ext="edit" aspectratio="f"/>
                <v:textbox>
                  <w:txbxContent>
                    <w:p>
                      <w:pPr>
                        <w:rPr>
                          <w:rFonts w:ascii="STKaiti" w:hAnsi="STKaiti" w:eastAsia="STKaiti" w:cs="STKaiti"/>
                          <w:szCs w:val="21"/>
                          <w:u w:val="single"/>
                        </w:rPr>
                      </w:pPr>
                      <w:r>
                        <w:rPr>
                          <w:rFonts w:hint="eastAsia" w:ascii="STKaiti" w:hAnsi="STKaiti" w:eastAsia="STKaiti" w:cs="STKaiti"/>
                          <w:szCs w:val="21"/>
                          <w:u w:val="single"/>
                        </w:rPr>
                        <w:t>各项达标的总积分×60%</w:t>
                      </w:r>
                    </w:p>
                    <w:p>
                      <w:pPr>
                        <w:ind w:firstLine="630" w:firstLineChars="300"/>
                        <w:rPr>
                          <w:rFonts w:ascii="STKaiti" w:hAnsi="STKaiti" w:eastAsia="STKaiti" w:cs="STKaiti"/>
                          <w:szCs w:val="21"/>
                        </w:rPr>
                      </w:pPr>
                      <w:r>
                        <w:rPr>
                          <w:rFonts w:hint="eastAsia" w:ascii="STKaiti" w:hAnsi="STKaiti" w:eastAsia="STKaiti" w:cs="STKaiti"/>
                          <w:szCs w:val="21"/>
                        </w:rPr>
                        <w:t>测试项数</w:t>
                      </w:r>
                    </w:p>
                  </w:txbxContent>
                </v:textbox>
              </v:shape>
            </w:pict>
          </mc:Fallback>
        </mc:AlternateContent>
      </w:r>
      <w:r>
        <w:rPr>
          <w:rFonts w:hint="eastAsia" w:asciiTheme="minorEastAsia" w:hAnsiTheme="minorEastAsia" w:cstheme="minorEastAsia"/>
          <w:sz w:val="24"/>
        </w:rPr>
        <w:t xml:space="preserve"> </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达标成绩＝</w:t>
      </w:r>
    </w:p>
    <w:p>
      <w:pPr>
        <w:adjustRightInd w:val="0"/>
        <w:snapToGrid w:val="0"/>
        <w:spacing w:line="360" w:lineRule="auto"/>
        <w:ind w:firstLine="480" w:firstLineChars="200"/>
        <w:rPr>
          <w:rFonts w:asciiTheme="minorEastAsia" w:hAnsiTheme="minorEastAsia" w:cstheme="minorEastAsia"/>
          <w:sz w:val="24"/>
        </w:rPr>
      </w:pP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第十三条 积极参加体育锻炼占40分，其中：</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1.自觉参加体育锻炼，满分20分。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2.积极参加班级以上单位组织的体育活动，满分20分。</w:t>
      </w:r>
    </w:p>
    <w:p>
      <w:pPr>
        <w:adjustRightInd w:val="0"/>
        <w:snapToGrid w:val="0"/>
        <w:spacing w:line="360" w:lineRule="auto"/>
        <w:jc w:val="center"/>
        <w:rPr>
          <w:rFonts w:asciiTheme="minorEastAsia" w:hAnsiTheme="minorEastAsia" w:cstheme="minorEastAsia"/>
          <w:sz w:val="24"/>
        </w:rPr>
      </w:pPr>
    </w:p>
    <w:p>
      <w:pPr>
        <w:adjustRightInd w:val="0"/>
        <w:snapToGrid w:val="0"/>
        <w:spacing w:line="360" w:lineRule="auto"/>
        <w:jc w:val="center"/>
        <w:rPr>
          <w:rFonts w:asciiTheme="minorEastAsia" w:hAnsiTheme="minorEastAsia" w:cstheme="minorEastAsia"/>
          <w:sz w:val="24"/>
        </w:rPr>
      </w:pPr>
      <w:r>
        <w:rPr>
          <w:rFonts w:hint="eastAsia" w:asciiTheme="minorEastAsia" w:hAnsiTheme="minorEastAsia" w:cstheme="minorEastAsia"/>
          <w:sz w:val="24"/>
        </w:rPr>
        <w:t>奖励分</w:t>
      </w:r>
    </w:p>
    <w:p>
      <w:pPr>
        <w:adjustRightInd w:val="0"/>
        <w:snapToGrid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第十四条奖励分包括政治思想、科研、社会活动等方面内容。同一项目、同类性质重复得奖，取最高分。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第十五条 思想表现方面（30分）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1.在见义勇为、助人为乐等方面表现突出，受国家、省部级表彰者加10分，校级表彰者加5分，院级表彰者加3分（须有事迹材料或书面证明）。</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2.拾金不昧、无偿献血者加5分。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3.所在班级被评为全国、省部级先进班集体，班级每位成员加10分。被评为校级先进班集体的每位成员加5分。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4.在学生宿舍评比活动中，获奖宿舍的每位成员根据标准加分。其中：国家、省部级加10分，校级加5分，院级加3分。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以上各项可累加，最高不能超过30分。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第十六条 科研活动方面（40分）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1.参加各种科技竞赛，获国家表彰者加10分，省部级表彰加5分，校级表彰加3分。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2.在国家权威刊物发表专业论文、出版专著、科技制作获专利者，每项加20分，其它刊物上发表专业论文，每项加10分。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3.在全国公开发行的报刊上发表文艺、摄影、美术、绘画等作品，在全国报刊或省级报刊头版上发表宣传学校的通讯、报道者。每项加5分。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4.所撰宣传学校的通讯、报道在省级报刊(包括国家级非头版)发表者，每项加3分 。</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5.在校报、校广播台、校网站等发表稿件者每篇加1分，相同稿件不重复计算。</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论文、科技成果第一作者是指导教师的，学生视为第一作者；合作成果，第一作者占60%，余下由其他作者平分。各种获奖以证书或证明为准。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以上各项可累加，最高不能超过40分。</w:t>
      </w:r>
    </w:p>
    <w:p>
      <w:pPr>
        <w:adjustRightInd w:val="0"/>
        <w:snapToGrid w:val="0"/>
        <w:spacing w:line="360" w:lineRule="auto"/>
        <w:ind w:firstLine="480"/>
        <w:rPr>
          <w:rFonts w:asciiTheme="minorEastAsia" w:hAnsiTheme="minorEastAsia" w:cstheme="minorEastAsia"/>
          <w:sz w:val="24"/>
        </w:rPr>
      </w:pPr>
      <w:r>
        <w:rPr>
          <w:rFonts w:hint="eastAsia" w:asciiTheme="minorEastAsia" w:hAnsiTheme="minorEastAsia" w:cstheme="minorEastAsia"/>
          <w:sz w:val="24"/>
        </w:rPr>
        <w:t>第十七条 社会工作与活动方面（30分）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1.社会实践活动获国家表彰者，每人加10分；获省部级表彰者，每人加5分；获校级表彰者，每人加3分。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2.参加演讲比赛、知识竞赛、体育竞赛、书画比赛、文艺汇演等获国家表彰者加10分；省部级表彰者加5分；校级表彰者加3分。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3.担任校级学生组织正、副主席或者任同级别职务，工作认真负责，每人加8分。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4.担任学生党支部书记、校级学生组织部门负责人、院级学生组织正、副主席或者任同级别职务，工作认真负责，每人加5分。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5.担任学生党支部委员、班长、班级团支部书记、院级学生组织部门负责人，工作认真负责，每人加3分。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6.担任班委、团支委及各级学生组织干事，工作认真负责，每人加2分。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兼任多项社会工作的学生干部以最高职级计分，不累加；任期不足一届2/3时间者不计分；不履行工作职责或工作不胜任者不计分。</w:t>
      </w:r>
    </w:p>
    <w:p>
      <w:pPr>
        <w:adjustRightInd w:val="0"/>
        <w:snapToGrid w:val="0"/>
        <w:spacing w:line="360" w:lineRule="auto"/>
        <w:ind w:firstLine="482"/>
        <w:rPr>
          <w:rFonts w:asciiTheme="minorEastAsia" w:hAnsiTheme="minorEastAsia" w:cstheme="minorEastAsia"/>
          <w:sz w:val="24"/>
        </w:rPr>
      </w:pPr>
      <w:r>
        <w:rPr>
          <w:rFonts w:hint="eastAsia" w:asciiTheme="minorEastAsia" w:hAnsiTheme="minorEastAsia" w:cstheme="minorEastAsia"/>
          <w:sz w:val="24"/>
        </w:rPr>
        <w:t>以上各项可累加，最高不能超过30分。</w:t>
      </w:r>
    </w:p>
    <w:p>
      <w:pPr>
        <w:adjustRightInd w:val="0"/>
        <w:snapToGrid w:val="0"/>
        <w:spacing w:line="360" w:lineRule="auto"/>
        <w:rPr>
          <w:rFonts w:asciiTheme="minorEastAsia" w:hAnsiTheme="minorEastAsia" w:cstheme="minorEastAsia"/>
          <w:sz w:val="24"/>
        </w:rPr>
      </w:pPr>
    </w:p>
    <w:p>
      <w:pPr>
        <w:spacing w:line="360" w:lineRule="auto"/>
        <w:jc w:val="left"/>
        <w:rPr>
          <w:rFonts w:asciiTheme="minorEastAsia" w:hAnsiTheme="minorEastAsia" w:cstheme="minorEastAsia"/>
          <w:b/>
          <w:bCs/>
          <w:sz w:val="24"/>
        </w:rPr>
      </w:pPr>
      <w:r>
        <w:rPr>
          <w:rFonts w:hint="eastAsia" w:asciiTheme="minorEastAsia" w:hAnsiTheme="minorEastAsia" w:cstheme="minorEastAsia"/>
          <w:b/>
          <w:bCs/>
          <w:sz w:val="24"/>
        </w:rPr>
        <w:t>第四部分  荣誉称号与集体类奖项评选奖励办法（节选）：</w:t>
      </w:r>
    </w:p>
    <w:p>
      <w:pPr>
        <w:adjustRightInd w:val="0"/>
        <w:snapToGrid w:val="0"/>
        <w:spacing w:line="360" w:lineRule="auto"/>
        <w:ind w:left="482"/>
        <w:rPr>
          <w:rFonts w:asciiTheme="minorEastAsia" w:hAnsiTheme="minorEastAsia" w:cstheme="minorEastAsia"/>
          <w:sz w:val="24"/>
        </w:rPr>
      </w:pPr>
      <w:r>
        <w:rPr>
          <w:rFonts w:hint="eastAsia" w:asciiTheme="minorEastAsia" w:hAnsiTheme="minorEastAsia" w:cstheme="minorEastAsia"/>
          <w:sz w:val="24"/>
        </w:rPr>
        <w:t>1、三好学生</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每年九月评选，评奖比例为学生数的8%。评选条件：热爱祖国，热爱校园，关心集体，尊敬师长，团结同学，文明礼貌，遵纪守法，积极参加各类活动，具有良好的思想道德品质；学习态度端正，勤奋刻苦，各门课程考试及格，平均学分绩名列全班前15%；坚持体育锻炼，体育成绩达到《国家体育锻炼标准》。</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2、三好学生标兵</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每年九月评选，评奖比例为学生数的4</w:t>
      </w:r>
      <w:r>
        <w:rPr>
          <w:rFonts w:hint="eastAsia" w:asciiTheme="minorEastAsia" w:hAnsiTheme="minorEastAsia" w:cstheme="minorEastAsia"/>
          <w:color w:val="333333"/>
          <w:sz w:val="24"/>
          <w:shd w:val="clear" w:color="auto" w:fill="FFFFFF"/>
        </w:rPr>
        <w:t>%</w:t>
      </w:r>
      <w:r>
        <w:rPr>
          <w:rFonts w:hint="eastAsia" w:asciiTheme="minorEastAsia" w:hAnsiTheme="minorEastAsia" w:cstheme="minorEastAsia"/>
          <w:sz w:val="24"/>
        </w:rPr>
        <w:t xml:space="preserve"> 。评选条件：具备三好学生的各项获奖条件；在政治思想，道德品行，学业科研，社会工作和社会实践等方面有特别突出的表现。</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3、优秀学生干部</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每年九月评选，评奖比例为学生干部数的8%。评选条件：作为班委会，团支部以上的各级干部工作半年以上；思想品德好，工作责任感强，热心为同学服务，工作成绩突出；学习成绩优良，个门课程考试及格，体育成绩达到《国家体育锻炼标准》。</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4、先进班集体</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每年九月评选，评奖比例为班级数的10%。评选条件：班级团结，学风好，班风正，全班同学互助友爱，尊敬师长，热爱学校，集体荣誉感强；积极开展社会实践和其他各种有益学生健康成长，在校内有积极影响的活动，并多次获院级以上表彰。全班同学平均成绩良好，无违纪现象，全班同学体育成绩达到《国家体育锻炼标准》。</w:t>
      </w:r>
    </w:p>
    <w:p>
      <w:pPr>
        <w:adjustRightInd w:val="0"/>
        <w:snapToGrid w:val="0"/>
        <w:spacing w:line="360" w:lineRule="auto"/>
        <w:ind w:firstLine="420"/>
        <w:rPr>
          <w:rFonts w:asciiTheme="minorEastAsia" w:hAnsiTheme="minorEastAsia" w:cstheme="minorEastAsia"/>
          <w:sz w:val="24"/>
        </w:rPr>
      </w:pPr>
      <w:r>
        <w:rPr>
          <w:rFonts w:hint="eastAsia" w:asciiTheme="minorEastAsia" w:hAnsiTheme="minorEastAsia" w:cstheme="minorEastAsia"/>
          <w:sz w:val="24"/>
        </w:rPr>
        <w:t>先进班集体的评选，在学院学生工作小组的组织下，班级申报并产生初步名单，经学院评优领导小组同意，将评选推荐名单连同事迹材料报学校评优领导小组批准。</w:t>
      </w:r>
    </w:p>
    <w:p>
      <w:pPr>
        <w:numPr>
          <w:ilvl w:val="0"/>
          <w:numId w:val="3"/>
        </w:numPr>
        <w:tabs>
          <w:tab w:val="left" w:pos="591"/>
        </w:tabs>
        <w:adjustRightInd w:val="0"/>
        <w:snapToGrid w:val="0"/>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文明寝室</w:t>
      </w:r>
    </w:p>
    <w:p>
      <w:pPr>
        <w:tabs>
          <w:tab w:val="left" w:pos="2340"/>
        </w:tabs>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评选条件：寝室有健全的卫生值日制度，保持经常性的清洁美观。同寝室同学互帮互学，在规定的学习时间内不睡懒觉、不打牌下棋或进行其他娱乐活动。坚持早锻炼、早读，本学年宿舍全体成员学习成绩在良好以上。关心集体，关心他人，尊重管理人员，听从管理人员的指导。自觉遵守学校各项规章制度，按时作息，不影响他人学习与休息。节约粮食、水电，不违章用电，没有损坏门窗、桌椅等现象发生。礼貌用语，行为端庄，举止文明。维护厕所、走廊、洗脸间、门窗等公共卫生。</w:t>
      </w:r>
    </w:p>
    <w:p>
      <w:pPr>
        <w:numPr>
          <w:ilvl w:val="0"/>
          <w:numId w:val="3"/>
        </w:numPr>
        <w:tabs>
          <w:tab w:val="left" w:pos="2340"/>
        </w:tabs>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十佳书香斋</w:t>
      </w:r>
    </w:p>
    <w:p>
      <w:pPr>
        <w:tabs>
          <w:tab w:val="left" w:pos="2340"/>
        </w:tabs>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各学院可在文明寝室推荐名单中，选取1间在2020年全民阅读活动中表现突出的寝室，申报十佳书香斋寝室。</w:t>
      </w:r>
    </w:p>
    <w:p>
      <w:pPr>
        <w:tabs>
          <w:tab w:val="left" w:pos="591"/>
        </w:tabs>
        <w:adjustRightInd w:val="0"/>
        <w:snapToGrid w:val="0"/>
        <w:spacing w:line="360" w:lineRule="auto"/>
        <w:rPr>
          <w:rFonts w:asciiTheme="minorEastAsia" w:hAnsiTheme="minorEastAsia" w:cstheme="minorEastAsia"/>
          <w:sz w:val="24"/>
        </w:rPr>
      </w:pPr>
    </w:p>
    <w:p>
      <w:pPr>
        <w:adjustRightInd w:val="0"/>
        <w:snapToGrid w:val="0"/>
        <w:spacing w:line="360" w:lineRule="auto"/>
        <w:rPr>
          <w:rFonts w:asciiTheme="minorEastAsia" w:hAnsiTheme="minorEastAsia" w:cstheme="minorEastAsia"/>
          <w:sz w:val="24"/>
        </w:rPr>
      </w:pPr>
    </w:p>
    <w:p>
      <w:pPr>
        <w:adjustRightInd w:val="0"/>
        <w:snapToGrid w:val="0"/>
        <w:spacing w:line="360" w:lineRule="auto"/>
        <w:rPr>
          <w:rFonts w:asciiTheme="minorEastAsia" w:hAnsiTheme="minorEastAsia" w:cstheme="minorEastAsia"/>
          <w:b/>
          <w:bCs/>
          <w:sz w:val="24"/>
        </w:rPr>
      </w:pPr>
      <w:r>
        <w:rPr>
          <w:rFonts w:hint="eastAsia" w:asciiTheme="minorEastAsia" w:hAnsiTheme="minorEastAsia" w:cstheme="minorEastAsia"/>
          <w:b/>
          <w:bCs/>
          <w:sz w:val="24"/>
        </w:rPr>
        <w:t>奖励方式</w:t>
      </w:r>
    </w:p>
    <w:p>
      <w:pPr>
        <w:adjustRightInd w:val="0"/>
        <w:snapToGrid w:val="0"/>
        <w:spacing w:line="360" w:lineRule="auto"/>
        <w:rPr>
          <w:rFonts w:asciiTheme="minorEastAsia" w:hAnsiTheme="minorEastAsia" w:cstheme="minorEastAsia"/>
          <w:sz w:val="24"/>
        </w:rPr>
      </w:pPr>
      <w:r>
        <w:rPr>
          <w:rFonts w:hint="eastAsia" w:asciiTheme="minorEastAsia" w:hAnsiTheme="minorEastAsia" w:cstheme="minorEastAsia"/>
          <w:sz w:val="24"/>
        </w:rPr>
        <w:t xml:space="preserve">    学校实行精神鼓励和物质奖励相结合的奖励办法。获奖学生个人，授予荣誉证书，事迹存入档案，并发放奖金或奖品。获奖学生集体，授予荣誉证书，并发放奖金或奖品。具体奖励标准为：获全国先进班集体，每单位奖励3000元；获全省先进班集体，每单位奖励2000元；获全国优秀个人，每人奖励1000元；获校先进班集体，每单位奖励500元；获校三好学生标兵，每人奖励500元；获校三好学生，优秀学生干部，每人奖励200元；获优秀毕业生和文明寝室和十佳书香斋，奖励实物。      </w:t>
      </w:r>
    </w:p>
    <w:p>
      <w:pPr>
        <w:adjustRightInd w:val="0"/>
        <w:snapToGrid w:val="0"/>
        <w:spacing w:line="360" w:lineRule="auto"/>
        <w:rPr>
          <w:rFonts w:asciiTheme="minorEastAsia" w:hAnsiTheme="minorEastAsia" w:cstheme="minorEastAsia"/>
          <w:sz w:val="24"/>
        </w:rPr>
      </w:pPr>
    </w:p>
    <w:p>
      <w:pPr>
        <w:adjustRightInd w:val="0"/>
        <w:snapToGrid w:val="0"/>
        <w:spacing w:line="360" w:lineRule="auto"/>
        <w:rPr>
          <w:rFonts w:asciiTheme="minorEastAsia" w:hAnsiTheme="minorEastAsia" w:cstheme="minorEastAsia"/>
          <w:sz w:val="24"/>
        </w:rPr>
      </w:pPr>
    </w:p>
    <w:p>
      <w:pPr>
        <w:adjustRightInd w:val="0"/>
        <w:snapToGrid w:val="0"/>
        <w:spacing w:line="360" w:lineRule="auto"/>
        <w:rPr>
          <w:rFonts w:asciiTheme="minorEastAsia" w:hAnsiTheme="minorEastAsia" w:cstheme="minorEastAsia"/>
          <w:sz w:val="24"/>
        </w:rPr>
      </w:pPr>
    </w:p>
    <w:p>
      <w:pPr>
        <w:spacing w:line="360" w:lineRule="auto"/>
        <w:rPr>
          <w:rFonts w:asciiTheme="minorEastAsia" w:hAnsiTheme="minorEastAsia" w:cstheme="minorEastAsia"/>
          <w:sz w:val="24"/>
        </w:rPr>
      </w:pPr>
    </w:p>
    <w:p>
      <w:pPr>
        <w:spacing w:line="360" w:lineRule="auto"/>
        <w:ind w:left="420" w:leftChars="200"/>
        <w:rPr>
          <w:rFonts w:asciiTheme="minorEastAsia" w:hAnsiTheme="minorEastAsia" w:cstheme="minorEastAsia"/>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TKaiti">
    <w:altName w:val="宋体"/>
    <w:panose1 w:val="00000000000000000000"/>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26356"/>
    <w:multiLevelType w:val="singleLevel"/>
    <w:tmpl w:val="1D026356"/>
    <w:lvl w:ilvl="0" w:tentative="0">
      <w:start w:val="12"/>
      <w:numFmt w:val="chineseCounting"/>
      <w:suff w:val="space"/>
      <w:lvlText w:val="第%1条"/>
      <w:lvlJc w:val="left"/>
      <w:rPr>
        <w:rFonts w:hint="eastAsia"/>
      </w:rPr>
    </w:lvl>
  </w:abstractNum>
  <w:abstractNum w:abstractNumId="1">
    <w:nsid w:val="27AEBE5F"/>
    <w:multiLevelType w:val="singleLevel"/>
    <w:tmpl w:val="27AEBE5F"/>
    <w:lvl w:ilvl="0" w:tentative="0">
      <w:start w:val="1"/>
      <w:numFmt w:val="chineseCounting"/>
      <w:suff w:val="nothing"/>
      <w:lvlText w:val="%1、"/>
      <w:lvlJc w:val="left"/>
      <w:rPr>
        <w:rFonts w:hint="eastAsia"/>
      </w:rPr>
    </w:lvl>
  </w:abstractNum>
  <w:abstractNum w:abstractNumId="2">
    <w:nsid w:val="4218DAF0"/>
    <w:multiLevelType w:val="singleLevel"/>
    <w:tmpl w:val="4218DAF0"/>
    <w:lvl w:ilvl="0" w:tentative="0">
      <w:start w:val="5"/>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533CD"/>
    <w:rsid w:val="003A60CF"/>
    <w:rsid w:val="006E55D8"/>
    <w:rsid w:val="00822CD6"/>
    <w:rsid w:val="008C5A07"/>
    <w:rsid w:val="00A34A3B"/>
    <w:rsid w:val="00AD1885"/>
    <w:rsid w:val="00BA5F21"/>
    <w:rsid w:val="00E37A3B"/>
    <w:rsid w:val="00E408F3"/>
    <w:rsid w:val="03166B7C"/>
    <w:rsid w:val="047D7C7A"/>
    <w:rsid w:val="057B3888"/>
    <w:rsid w:val="0A195B82"/>
    <w:rsid w:val="0AB03D4D"/>
    <w:rsid w:val="10D92325"/>
    <w:rsid w:val="14DC1643"/>
    <w:rsid w:val="170445ED"/>
    <w:rsid w:val="1828601A"/>
    <w:rsid w:val="1B5B7D10"/>
    <w:rsid w:val="1B952340"/>
    <w:rsid w:val="2224107B"/>
    <w:rsid w:val="25480115"/>
    <w:rsid w:val="276E2260"/>
    <w:rsid w:val="28B7793A"/>
    <w:rsid w:val="2FE74EC7"/>
    <w:rsid w:val="352A45E7"/>
    <w:rsid w:val="35D142E5"/>
    <w:rsid w:val="39F56D71"/>
    <w:rsid w:val="3A660FED"/>
    <w:rsid w:val="3A8978B5"/>
    <w:rsid w:val="3EF76728"/>
    <w:rsid w:val="3F0533CD"/>
    <w:rsid w:val="41A1246C"/>
    <w:rsid w:val="420F4C5A"/>
    <w:rsid w:val="45A30B3B"/>
    <w:rsid w:val="45AB7213"/>
    <w:rsid w:val="483B4909"/>
    <w:rsid w:val="49C85E45"/>
    <w:rsid w:val="4E0A1869"/>
    <w:rsid w:val="518D3015"/>
    <w:rsid w:val="554F1C48"/>
    <w:rsid w:val="59E42DCF"/>
    <w:rsid w:val="5FD10653"/>
    <w:rsid w:val="6070008B"/>
    <w:rsid w:val="61953A8E"/>
    <w:rsid w:val="63E1001B"/>
    <w:rsid w:val="6406639D"/>
    <w:rsid w:val="64C33902"/>
    <w:rsid w:val="6BC47996"/>
    <w:rsid w:val="6D1A2F8E"/>
    <w:rsid w:val="6D535020"/>
    <w:rsid w:val="71533FBF"/>
    <w:rsid w:val="753300B2"/>
    <w:rsid w:val="75931C22"/>
    <w:rsid w:val="78D06FC4"/>
    <w:rsid w:val="7C2171FB"/>
    <w:rsid w:val="7E8E1922"/>
    <w:rsid w:val="7F6E4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8</Pages>
  <Words>4311</Words>
  <Characters>4531</Characters>
  <Lines>33</Lines>
  <Paragraphs>9</Paragraphs>
  <TotalTime>24</TotalTime>
  <ScaleCrop>false</ScaleCrop>
  <LinksUpToDate>false</LinksUpToDate>
  <CharactersWithSpaces>4618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2021-09-27T15:12:00Z</dcterms:created>
  <dc:creator>Administrator</dc:creator>
  <cp:lastModifiedBy>木马。</cp:lastModifiedBy>
  <dcterms:modified xsi:type="dcterms:W3CDTF">2021-09-27T18:04:27Z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5C82BF3862A048398AE7BA87CCEDE081</vt:lpwstr>
  </property>
</Properties>
</file>